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5F7CB99" w:rsidR="005A7127" w:rsidRDefault="008452D4" w:rsidP="008452D4">
      <w:hyperlink r:id="rId6" w:history="1">
        <w:r w:rsidRPr="00334D0F">
          <w:rPr>
            <w:rStyle w:val="Collegamentoipertestuale"/>
          </w:rPr>
          <w:t>https://www.ansa.it/piemonte/notizie/2025/02/15/panetta-impatto-dazi-usa-piu-forte-su-italia-e-germania_b5c7090b-8d4e-4f82-897e-75f53f1f672c.html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piemonte/notizie/2025/02/15/panetta-impatto-dazi-usa-piu-forte-su-italia-e-germania_b5c7090b-8d4e-4f82-897e-75f53f1f672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2025-02-20T13:41:00Z</dcterms:created>
  <dcterms:modified xsi:type="dcterms:W3CDTF">2025-02-20T13:41:00Z</dcterms:modified>
</cp:coreProperties>
</file>